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pPr>
      <w:r>
        <w:t>Narragansett Engineering Inc.</w:t>
      </w:r>
    </w:p>
    <w:p/>
    <w:p>
      <w:pPr>
        <w:pStyle w:val="NoSpacing"/>
      </w:pPr>
      <w:r>
        <w:t>3102 East Main Rd, Portsmouth RI 02871</w:t>
      </w:r>
    </w:p>
    <w:p>
      <w:pPr>
        <w:pStyle w:val="NoSpacing"/>
      </w:pPr>
      <w:r>
        <w:t>T. 401.683.6630</w:t>
      </w:r>
    </w:p>
    <w:p>
      <w:pPr>
        <w:pStyle w:val="NoSpacing"/>
      </w:pPr>
      <w:r>
        <w:t>nei-cds.com</w:t>
      </w:r>
    </w:p>
    <w:p>
      <w:r>
        <w:t xml:space="preserve">                                             </w:t>
      </w:r>
    </w:p>
    <w:p>
      <w:r>
        <w:t xml:space="preserve">                                             </w:t>
      </w:r>
    </w:p>
    <w:p>
      <w:r>
        <w:t xml:space="preserve">                                             </w:t>
      </w:r>
    </w:p>
    <w:p>
      <w:r>
        <w:t xml:space="preserve">                                             </w:t>
      </w:r>
    </w:p>
    <w:p>
      <w:pPr>
        <w:pStyle w:val="NoSpacing"/>
      </w:pPr>
      <w:r>
        <w:t>Date + Time: 2018-04-22 14:45</w:t>
      </w:r>
    </w:p>
    <w:p>
      <w:pPr>
        <w:pStyle w:val="NoSpacing"/>
      </w:pPr>
      <w:r>
        <w:t>to: HINGORANY NEAL K &amp; PARMENTER AMY B 104 Dighton Ave Portsmouth RI</w:t>
      </w:r>
    </w:p>
    <w:p>
      <w:pPr>
        <w:pStyle w:val="NoSpacing"/>
      </w:pPr>
      <w:r>
        <w:t>Plat + Lot (A.P.).: 3/ 63/ / /</w:t>
      </w:r>
    </w:p>
    <w:p>
      <w:r>
        <w:t xml:space="preserve">                                             </w:t>
      </w:r>
    </w:p>
    <w:p>
      <w:pPr>
        <w:pStyle w:val="NoSpacing"/>
      </w:pPr>
      <w:r>
        <w:t>Site Information: 1748-112</w:t>
      </w:r>
    </w:p>
    <w:p>
      <w:pPr>
        <w:pStyle w:val="NoSpacing"/>
      </w:pPr>
      <w:r>
        <w:t>Latest Book and Page: 1748-112</w:t>
      </w:r>
    </w:p>
    <w:p>
      <w:pPr>
        <w:pStyle w:val="NoSpacing"/>
      </w:pPr>
      <w:r>
        <w:t>Land evidence chain: 1281-62 438-120 106-294 106-294</w:t>
      </w:r>
    </w:p>
    <w:p>
      <w:pPr>
        <w:pStyle w:val="NoSpacing"/>
      </w:pPr>
      <w:r>
        <w:t>Zone: R10</w:t>
      </w:r>
    </w:p>
    <w:p>
      <w:pPr>
        <w:pStyle w:val="NoSpacing"/>
      </w:pPr>
      <w:r>
        <w:t>Lot Area (Acres): 0.18+/-</w:t>
      </w:r>
    </w:p>
    <w:p>
      <w:pPr>
        <w:pStyle w:val="NoSpacing"/>
      </w:pPr>
      <w:r>
        <w:t xml:space="preserve">All information from Assessors Database </w:t>
      </w:r>
    </w:p>
    <w:p>
      <w:r>
        <w:t xml:space="preserve">                                             </w:t>
      </w:r>
    </w:p>
    <w:p>
      <w:r>
        <w:t xml:space="preserve">                                             </w:t>
      </w:r>
    </w:p>
    <w:p>
      <w:pPr>
        <w:pStyle w:val="NoSpacing"/>
      </w:pPr>
      <w:r>
        <w:t>Narragansett Engineering Inc is please to provide you with the following proposal</w:t>
      </w:r>
    </w:p>
    <w:p>
      <w:r>
        <w:t xml:space="preserve">  Comprehensive Boundary Survey (9.2.10) (RI) 102   Construction Survey – Stake out for construction or property corners (specific features) (RI 9.4/MA) 103  Feature Location Survey (9.2.21.3) Locate or depict specific feature or features (Building Location Survey, etc.) 104  1.5</w:t>
        <w:tab/>
        <w:t xml:space="preserve">Data Accumulation Survey (Topography [T-2], Site Features, Surface Utilities Only).   105  1.5A     Add subsurface utilities, and research 1.5B     Add Wetland Flags 1.5C     Add Tree Location 1.5D     UAV Survey (for site and topography)  Elevation Certificate 106 </w:t>
        <w:br/>
        <w:t>Metes and Bounds Property Survey (MA)* 107</w:t>
        <w:br/>
        <w:br/>
        <w:t>Conceptual Subdivision / Site Design 108</w:t>
        <w:br/>
        <w:br/>
        <w:t>CIVIL (Section 2)</w:t>
        <w:br/>
        <w:br/>
        <w:t>2.0</w:t>
        <w:tab/>
        <w:t>Feasibility Assessment, Site Concept Design. 200</w:t>
        <w:br/>
        <w:br/>
        <w:t>2.1</w:t>
        <w:tab/>
        <w:t>Proposed Site Plan (Add RIDEM / CRMC / Env. Permits) 201</w:t>
        <w:br/>
        <w:br/>
        <w:t>2.2</w:t>
        <w:tab/>
        <w:t>Soil Erosion and Sedimentation Control Plan 202</w:t>
        <w:br/>
        <w:br/>
        <w:t xml:space="preserve">2.3 </w:t>
        <w:tab/>
        <w:t>Single Family Residential Stormwater Mitigation Design (Water Quality) 203</w:t>
        <w:br/>
        <w:br/>
        <w:t>2.4</w:t>
        <w:tab/>
        <w:t>Commercial – Major Land Development Drainage Design 204</w:t>
        <w:br/>
        <w:br/>
        <w:t>2.5</w:t>
        <w:tab/>
        <w:t>RICRMC Assent Application 205</w:t>
        <w:br/>
        <w:br/>
        <w:t>2.6</w:t>
        <w:tab/>
        <w:t>RIDEM Wetlands Application 206</w:t>
        <w:br/>
        <w:br/>
        <w:t xml:space="preserve">2.7 </w:t>
        <w:tab/>
        <w:t>RICRMC PD Application 207</w:t>
        <w:br/>
        <w:br/>
        <w:t>ENVIRONMENTAL (Section 3)</w:t>
        <w:br/>
        <w:br/>
        <w:t>3.1 Soil Evaluation (Class IV)   301</w:t>
        <w:br/>
        <w:br/>
        <w:t>3.2 Wetlands Delineation (PWS)  302</w:t>
        <w:br/>
        <w:br/>
        <w:t xml:space="preserve">3.3 Septic System Design- New Construction Design (OWTS) </w:t>
        <w:br/>
        <w:br/>
        <w:t xml:space="preserve">3.4 Septic System Design- REPAIRS </w:t>
        <w:br/>
        <w:br/>
        <w:t>3.5 Septic System Suitability Application ** Fill out details</w:t>
        <w:br/>
        <w:br/>
        <w:t xml:space="preserve">3.6 RIDEM OWTS Records Review </w:t>
        <w:br/>
        <w:br/>
        <w:t>STRUCTURAL (Section 4)</w:t>
        <w:br/>
        <w:t xml:space="preserve">4.1 Structural Design  </w:t>
        <w:br/>
        <w:br/>
        <w:t xml:space="preserve">4.2 Structural Inspection </w:t>
        <w:br/>
        <w:br/>
        <w:br/>
        <w:t>Design (Section 5)</w:t>
        <w:br/>
        <w:br/>
        <w:t>5.1 House or Architectural Design Consulting.</w:t>
        <w:br/>
        <w:br/>
        <w:br/>
        <w:br/>
        <w:t>Subcontractor Information (Section 6)  p. 14</w:t>
        <w:br/>
        <w:br/>
        <w:br/>
        <w:br/>
        <w:br/>
        <w:br/>
        <w:br/>
        <w:br/>
        <w:br/>
        <w:br/>
        <w:br/>
        <w:br/>
        <w:br/>
        <w:br/>
        <w:br/>
        <w:br/>
        <w:br/>
        <w:br/>
        <w:br/>
        <w:t>s.00</w:t>
        <w:br/>
        <w:t>NEI Standard Hourly Rates: Jan. 2018</w:t>
        <w:br/>
        <w:br/>
        <w:t>Hourly Rates:</w:t>
        <w:br/>
        <w:br/>
        <w:t>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w:t>
        <w:br/>
        <w:br/>
        <w:t>-Survey Crew (Field, Robotic and / or GPS):       $200 per hour   (field Survey, layouts)</w:t>
        <w:br/>
        <w:t>-Staff Rates:                                                         $140 per hour (design, drafting, CAD)</w:t>
        <w:br/>
        <w:t>-Sr. Staff (Project Manager):                                $175 per hour (structural or civil analysis)</w:t>
        <w:br/>
        <w:t>-Principal:                                                             $185 per hour</w:t>
        <w:br/>
        <w:t>-Soil Evaluator:                                                     $775 half day   (1-2 test locations and report)</w:t>
        <w:br/>
        <w:t xml:space="preserve">-Admin:                                                                $75 per hour </w:t>
        <w:br/>
        <w:br/>
        <w:br/>
        <w:br/>
        <w:t>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t>s.00</w:t>
        <w:br/>
        <w:br/>
        <w:t>s.012</w:t>
        <w:br/>
        <w:t>Survey+Site Design Notes (Sec. 1 + 2)</w:t>
        <w:br/>
        <w:t>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w:t>
        <w:br/>
        <w:t>Probate record search not inclusive in typical research package.</w:t>
        <w:br/>
        <w:t xml:space="preserve"> If owner is able to supply a current title search dating back to operative document (e.g. lot creation), discount for survey cost may be applied.</w:t>
        <w:br/>
        <w:t>Survey Marker + Monuments Materials Cost (Billable unless noted otherwise):</w:t>
        <w:br/>
        <w:t>Witness Stake - $2 / per</w:t>
        <w:br/>
        <w:t>Rebar + Witness Stake - $10 / per</w:t>
        <w:br/>
        <w:t>Pin w/ cap + Witness Stake - $15 / per</w:t>
        <w:br/>
        <w:t>Feno bounds w/ Stake - $85 / per</w:t>
        <w:br/>
        <w:t>Granite or Concrete Bounds - $200 / per*</w:t>
        <w:br/>
        <w:t>*All bounds may incur hourly rate fees due to difficulty of installation, boulders, subsurface impediments, etc.</w:t>
        <w:br/>
        <w:t>Significant clearing of brush or line cutting is not included unless noted.  If clearing is required it shall be performed by owner or charged at hourly rates.</w:t>
        <w:br/>
        <w:t xml:space="preserve">Field staking trips require at minimum 48 hours prior notice, i.e. 2 business days. Stakeouts calls that are received later than this will be charged a rush rate at a multiple of 1.4. This does not guarantee service within 2 days. </w:t>
        <w:br/>
        <w:t>All request for survey and staking, must come through the main office, field staff may not be able to process scheduling directly.</w:t>
        <w:br/>
        <w:t>Stake out / construction layout procedure.</w:t>
        <w:br/>
        <w:t xml:space="preserve">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t>s.012</w:t>
        <w:br/>
        <w:br/>
        <w:br/>
        <w:t>s.045</w:t>
        <w:br/>
        <w:t>Structural + Design Notes: (Sec. 4 + 5)</w:t>
        <w:br/>
        <w:t>Ladder or means of access to joists must be provided by owner / rep. Joists must be made visible by removing ceiling tiles or surfacing, prior to inspection.  Limited excavation at foundation may be required - costs not inclusive.</w:t>
        <w:br/>
        <w:t>Verification of existing framing, foundation elements, studs, joists, and other structural members may be required to verify design and / or concept.  NEI may be required to subcontract a carpenter or framer to perform limited demolition for inspection. Non-destructive testing may be possible, but this will need to be carefully coordinated with the homeowner or architect.  Subcontractor costs may not be included within this proposal.</w:t>
        <w:br/>
        <w:t>NEI will specify sawn lumber or typical manufactured lumber (e.g. Versa Lam) material for wooden members, however we strongly recommend sending structural plans to lumber yard prior to contract award to verify member or suitable replacement is both cost effective and available.</w:t>
        <w:br/>
        <w:t>Improvements in flood zones: NEI strongly recommends elevation certificates be prepare pre, during and post construction, for both building code / FEMA suitability and determination of insurance rates.  Insurance rates may be a critical factor in the decision making process, substantially elevating a structure may result in a drastic improvement of rates, while construction near BFE limits may have the opposite effect. NEI recommends all structures be elevated 3' - 5' + above BFE  (as high as feasible), in accordance with RICRMC and NFIP recommendations.</w:t>
        <w:br/>
        <w:t>Basements, crawlspaces and areas below grade may need additional attention  in regards to water (storm / surface, groundwater and floodwaters). If gravity sub drains are not available a separate cost proposal or firm may be required to provide sump pump an waterproofing services.  There are no guarantees on basements, significant effort may be required to provide a water tight or drainage solution.  Code requires 1'+ separation to water table (which may rise over the medium to long term) and / or an adequate drainage system with sufficient backup.</w:t>
        <w:br/>
        <w:t>Elevations certificates can be provided $875, or less typically. Costs may vary per site.</w:t>
        <w:br/>
        <w:t>Verification of existing framing, foundation elements, studs, joists, and other structural members may be required</w:t>
        <w:br/>
        <w:t>Improvements in flood zones: NEI strongly recommends elevation certificates be prepare pre, during and post construction, for both building code / FEMA suitability and determination of insurance rates.  Insurance rates may be a critical factor in the decision making process, substantially elevating a structure may result in a drastic improvement of rates, while construction near BFE limits may have the opposite effect. NEI recommends all structures be elevated 3' - 5' + above BFE  (as high as feasible), in accordance with RICRMC and NFIP recommendations.  Refer to RICMRC Storm tools mapping for expected sea level rise over the expected design life of the structure.</w:t>
        <w:br/>
        <w:t>Specialty Field Inspection Equipment Rental:</w:t>
        <w:br/>
        <w:t>FLIR Camera.</w:t>
        <w:br/>
        <w:t>Load Testing, Load Cell (up to 5,000#, unofficial)</w:t>
        <w:br/>
        <w:t>Walbot (RF Sensor, To find objects behind up to 4” depth walls or concrete)</w:t>
        <w:br/>
        <w:t xml:space="preserve">Borescope Camera </w:t>
        <w:br/>
        <w:t>Add $25 per hour to staff rates.  NEI is not a certified materials inspection or testing lab, Inspection services provided as part of typical site or structural inspections only.  GPS, Total Station, or UAV will be charged under survey rates.</w:t>
        <w:br/>
        <w:t>s.045</w:t>
        <w:br/>
        <w:br/>
        <w:br/>
        <w:t>s.01.6</w:t>
        <w:br/>
        <w:t>s.01.6</w:t>
        <w:br/>
        <w:br/>
        <w:br/>
        <w:br/>
        <w:br/>
        <w:br/>
        <w:br/>
        <w:br/>
        <w:br/>
        <w:br/>
        <w:br/>
        <w:br/>
        <w:br/>
        <w:br/>
        <w:br/>
        <w:br/>
        <w:t>Section 1</w:t>
        <w:br/>
        <w:t>Survey</w:t>
        <w:br/>
        <w:br/>
        <w:br/>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Portsmouth GIS + Aerial Map: </w:t>
      </w:r>
      <w:r>
        <w:drawing>
          <wp:inline xmlns:a="http://schemas.openxmlformats.org/drawingml/2006/main" xmlns:pic="http://schemas.openxmlformats.org/drawingml/2006/picture">
            <wp:extent cx="4572000" cy="2328862"/>
            <wp:docPr id="1" name="Picture 1"/>
            <wp:cNvGraphicFramePr>
              <a:graphicFrameLocks noChangeAspect="1"/>
            </wp:cNvGraphicFramePr>
            <a:graphic>
              <a:graphicData uri="http://schemas.openxmlformats.org/drawingml/2006/picture">
                <pic:pic>
                  <pic:nvPicPr>
                    <pic:cNvPr id="0" name="tempgis.png"/>
                    <pic:cNvPicPr/>
                  </pic:nvPicPr>
                  <pic:blipFill>
                    <a:blip r:embed="rId9"/>
                    <a:stretch>
                      <a:fillRect/>
                    </a:stretch>
                  </pic:blipFill>
                  <pic:spPr>
                    <a:xfrm>
                      <a:off x="0" y="0"/>
                      <a:ext cx="4572000" cy="2328862"/>
                    </a:xfrm>
                    <a:prstGeom prst="rect"/>
                  </pic:spPr>
                </pic:pic>
              </a:graphicData>
            </a:graphic>
          </wp:inline>
        </w:drawing>
      </w:r>
    </w:p>
    <w:p>
      <w:r>
        <w:t xml:space="preserve">Assesors Database Information Continued: </w:t>
      </w:r>
      <w:r>
        <w:t>From assessors datatabase: 2018-04-22 14:45</w:t>
        <w:drawing>
          <wp:inline xmlns:a="http://schemas.openxmlformats.org/drawingml/2006/main" xmlns:pic="http://schemas.openxmlformats.org/drawingml/2006/picture">
            <wp:extent cx="3657600" cy="3613265"/>
            <wp:docPr id="2" name="Picture 2"/>
            <wp:cNvGraphicFramePr>
              <a:graphicFrameLocks noChangeAspect="1"/>
            </wp:cNvGraphicFramePr>
            <a:graphic>
              <a:graphicData uri="http://schemas.openxmlformats.org/drawingml/2006/picture">
                <pic:pic>
                  <pic:nvPicPr>
                    <pic:cNvPr id="0" name="1VAcrop.png"/>
                    <pic:cNvPicPr/>
                  </pic:nvPicPr>
                  <pic:blipFill>
                    <a:blip r:embed="rId10"/>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2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3VAcrop.png"/>
                    <pic:cNvPicPr/>
                  </pic:nvPicPr>
                  <pic:blipFill>
                    <a:blip r:embed="rId12"/>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5" name="Picture 5"/>
            <wp:cNvGraphicFramePr>
              <a:graphicFrameLocks noChangeAspect="1"/>
            </wp:cNvGraphicFramePr>
            <a:graphic>
              <a:graphicData uri="http://schemas.openxmlformats.org/drawingml/2006/picture">
                <pic:pic>
                  <pic:nvPicPr>
                    <pic:cNvPr id="0" name="ridemgis.png"/>
                    <pic:cNvPicPr/>
                  </pic:nvPicPr>
                  <pic:blipFill>
                    <a:blip r:embed="rId13"/>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6" name="Picture 6"/>
            <wp:cNvGraphicFramePr>
              <a:graphicFrameLocks noChangeAspect="1"/>
            </wp:cNvGraphicFramePr>
            <a:graphic>
              <a:graphicData uri="http://schemas.openxmlformats.org/drawingml/2006/picture">
                <pic:pic>
                  <pic:nvPicPr>
                    <pic:cNvPr id="0" name="cropfema.png"/>
                    <pic:cNvPicPr/>
                  </pic:nvPicPr>
                  <pic:blipFill>
                    <a:blip r:embed="rId14"/>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